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entury Gothic" w:cs="Century Gothic" w:eastAsia="Century Gothic" w:hAnsi="Century Gothic"/>
          <w:sz w:val="18"/>
          <w:szCs w:val="18"/>
        </w:rPr>
      </w:pPr>
      <w:bookmarkStart w:colFirst="0" w:colLast="0" w:name="_heading=h.gjdgxs" w:id="0"/>
      <w:bookmarkEnd w:id="0"/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Anexo IV–Tabela para pontuação dos itens do currículo Lattes</w:t>
      </w:r>
      <w:r w:rsidDel="00000000" w:rsidR="00000000" w:rsidRPr="00000000">
        <w:rPr>
          <w:rtl w:val="0"/>
        </w:rPr>
      </w:r>
    </w:p>
    <w:tbl>
      <w:tblPr>
        <w:tblStyle w:val="Table1"/>
        <w:tblW w:w="1134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512"/>
        <w:gridCol w:w="835"/>
        <w:tblGridChange w:id="0">
          <w:tblGrid>
            <w:gridCol w:w="10512"/>
            <w:gridCol w:w="835"/>
          </w:tblGrid>
        </w:tblGridChange>
      </w:tblGrid>
      <w:tr>
        <w:trPr>
          <w:cantSplit w:val="0"/>
          <w:trHeight w:val="221" w:hRule="atLeast"/>
          <w:tblHeader w:val="0"/>
        </w:trPr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02">
            <w:pPr>
              <w:ind w:left="357" w:firstLine="0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DISCRIMINAÇÃO</w:t>
            </w:r>
          </w:p>
          <w:p w:rsidR="00000000" w:rsidDel="00000000" w:rsidP="00000000" w:rsidRDefault="00000000" w:rsidRPr="00000000" w14:paraId="00000003">
            <w:pPr>
              <w:ind w:left="357" w:firstLine="0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04">
            <w:pPr>
              <w:ind w:left="-72" w:right="-64" w:firstLine="0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Valor item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1.1 - Especialização - 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ÁREA DE ENGENHARIAS 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30/curso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1.2 - Aperfeiçoamento (mínimo de 180 horas)-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ÁREA DE ENGENHARIAS 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15/curso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1.3 - Cursos de Curta duração (mínimo de 20 horas)-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ÁREA DE ENGENHARIAS 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2/curso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1.4 –Minicursos (mínimo 4 horas)-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ÁREA DE ENGENHARIAS 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1/curso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1.5 - Estágio não curricular-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ÁREA DE ENGENHARIAS 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2/estág.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1.6 - Participação em projetos de pesquisa ou extensão – IC, colaborador, etc.-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ÁREA DE ENGENHARIAS 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2/proj.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2.1 -Atividade profissional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na área de Engenharias 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5/ano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2.2 -Cursos e treinamento ministrados (mínimo de 8 horas)-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ÁREA DE ENGENHARIAS 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5/curso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3.1 - Patente concedida-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ÁREA DE ENGENHARIAS 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30/pat.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3.2 - Pedido de patente publicado pelo INPI-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ÁREA DE ENGENHARIAS 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15/ped.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3.3 - Elaboração de laudos ou projetos – conforme AFT ou ART-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ÁREA DE ENGENHARIAS 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2/prod.</w:t>
            </w:r>
          </w:p>
        </w:tc>
      </w:tr>
      <w:tr>
        <w:trPr>
          <w:cantSplit w:val="0"/>
          <w:trHeight w:val="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Century Gothic" w:cs="Century Gothic" w:eastAsia="Century Gothic" w:hAnsi="Century Gothic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4.1 - ARTIGOS – QUALIS NA ÁREA DE ENGENHARIAS I </w:t>
            </w:r>
            <w:hyperlink r:id="rId7">
              <w:r w:rsidDel="00000000" w:rsidR="00000000" w:rsidRPr="00000000">
                <w:rPr>
                  <w:rFonts w:ascii="Century Gothic" w:cs="Century Gothic" w:eastAsia="Century Gothic" w:hAnsi="Century Gothic"/>
                  <w:i w:val="1"/>
                  <w:color w:val="0000ff"/>
                  <w:sz w:val="18"/>
                  <w:szCs w:val="18"/>
                  <w:u w:val="single"/>
                  <w:rtl w:val="0"/>
                </w:rPr>
                <w:t xml:space="preserve">https://sucupira.capes.gov.br/sucupira/public/consultas/coleta/veiculoPublicacaoQualis/listaConsultaGeralPeriodicos.jsf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) Quadrienio 2017-2020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Qualis A1 - Identificar o ISSN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15/publ.</w:t>
            </w:r>
          </w:p>
        </w:tc>
      </w:tr>
      <w:tr>
        <w:trPr>
          <w:cantSplit w:val="0"/>
          <w:trHeight w:val="21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Qualis A2 - Identificar o ISSN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12/publ.</w:t>
            </w:r>
          </w:p>
        </w:tc>
      </w:tr>
      <w:tr>
        <w:trPr>
          <w:cantSplit w:val="0"/>
          <w:trHeight w:val="7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Qualis B1 - Identificar o ISSN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10/publ.</w:t>
            </w:r>
          </w:p>
        </w:tc>
      </w:tr>
      <w:tr>
        <w:trPr>
          <w:cantSplit w:val="0"/>
          <w:trHeight w:val="7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Qualis B2 - Identificar o ISSN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7/publ.</w:t>
            </w:r>
          </w:p>
        </w:tc>
      </w:tr>
      <w:tr>
        <w:trPr>
          <w:cantSplit w:val="0"/>
          <w:trHeight w:val="9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Qualis B3 - Identificar o ISSN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6/publ.</w:t>
            </w:r>
          </w:p>
        </w:tc>
      </w:tr>
      <w:tr>
        <w:trPr>
          <w:cantSplit w:val="0"/>
          <w:trHeight w:val="21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Qualis B4 - Identificar o ISSN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5/publ.</w:t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Qualis B5 - Identificar o ISSN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4/publ.</w:t>
            </w:r>
          </w:p>
        </w:tc>
      </w:tr>
      <w:tr>
        <w:trPr>
          <w:cantSplit w:val="0"/>
          <w:trHeight w:val="13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Qualis C - Identificar o ISSN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3/publ.</w:t>
            </w:r>
          </w:p>
        </w:tc>
      </w:tr>
      <w:tr>
        <w:trPr>
          <w:cantSplit w:val="0"/>
          <w:trHeight w:val="13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rPr>
                <w:rFonts w:ascii="Century Gothic" w:cs="Century Gothic" w:eastAsia="Century Gothic" w:hAnsi="Century Gothic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4.2 TRABALHOS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1"/>
                <w:sz w:val="18"/>
                <w:szCs w:val="18"/>
                <w:rtl w:val="0"/>
              </w:rPr>
              <w:t xml:space="preserve">COMPLETOS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 PUBLICADOS EM ANAIS DE EVENTOS (ÁREA DE ENGENHARIAS I  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Evento científico ou de inovação com caracterização “Internacional ou Continental”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5/publ.</w:t>
            </w:r>
          </w:p>
        </w:tc>
      </w:tr>
      <w:tr>
        <w:trPr>
          <w:cantSplit w:val="0"/>
          <w:trHeight w:val="13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ind w:left="426" w:hanging="426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Evento científico ou de inovação com caracterização “Nacional”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4/publ.</w:t>
            </w:r>
          </w:p>
        </w:tc>
      </w:tr>
      <w:tr>
        <w:trPr>
          <w:cantSplit w:val="0"/>
          <w:trHeight w:val="15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ind w:left="426" w:hanging="426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Evento científico ou de inovação com caracterização “Regional ou Local”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2/publ.</w:t>
            </w:r>
          </w:p>
        </w:tc>
      </w:tr>
      <w:tr>
        <w:trPr>
          <w:cantSplit w:val="0"/>
          <w:trHeight w:val="15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ind w:left="426" w:hanging="426"/>
              <w:rPr>
                <w:rFonts w:ascii="Century Gothic" w:cs="Century Gothic" w:eastAsia="Century Gothic" w:hAnsi="Century Gothic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4.3 RESUMOS PUBLICADOS EM DE EVENTOS CIENTÍFICOS (ÁREA DE ENGENHARIAS I  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1/publ.</w:t>
            </w:r>
          </w:p>
        </w:tc>
      </w:tr>
    </w:tbl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pgSz w:h="11907" w:w="16840" w:orient="landscape"/>
      <w:pgMar w:bottom="454" w:top="1134" w:left="1134" w:right="1134" w:header="510" w:footer="4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mbria"/>
  <w:font w:name="Georgia"/>
  <w:font w:name="Times New Roman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mbria Math">
    <w:embedRegular w:fontKey="{00000000-0000-0000-0000-000000000000}" r:id="rId5" w:subsetted="0"/>
  </w:font>
  <w:font w:name="Century Gothic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Poppins" w:cs="Poppins" w:eastAsia="Poppins" w:hAnsi="Poppins"/>
        <w:b w:val="0"/>
        <w:i w:val="0"/>
        <w:smallCaps w:val="0"/>
        <w:strike w:val="0"/>
        <w:color w:val="000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Poppins" w:cs="Poppins" w:eastAsia="Poppins" w:hAnsi="Poppins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Poppins" w:cs="Poppins" w:eastAsia="Poppins" w:hAnsi="Poppins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Programa de Pós-graduação em Engenharia e Ciências Ambientais - PPGECA</w:t>
    </w:r>
  </w:p>
  <w:p w:rsidR="00000000" w:rsidDel="00000000" w:rsidP="00000000" w:rsidRDefault="00000000" w:rsidRPr="00000000" w14:paraId="000000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Fonts w:ascii="Poppins" w:cs="Poppins" w:eastAsia="Poppins" w:hAnsi="Poppins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Endereço: Praça Vinte de Setembro, n. 455 – Centro. Pelotas/RS –Fone: (53) 2123 1136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color="000000" w:space="1" w:sz="4" w:val="single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-142" w:right="0" w:firstLine="0"/>
      <w:jc w:val="left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drawing>
        <wp:inline distB="0" distT="0" distL="0" distR="0">
          <wp:extent cx="1817915" cy="849086"/>
          <wp:effectExtent b="0" l="0" r="0" t="0"/>
          <wp:docPr descr="Logo_IFSul_Campus_Pelotas.png" id="4" name="image1.png"/>
          <a:graphic>
            <a:graphicData uri="http://schemas.openxmlformats.org/drawingml/2006/picture">
              <pic:pic>
                <pic:nvPicPr>
                  <pic:cNvPr descr="Logo_IFSul_Campus_Pelotas.png" id="0" name="image1.png"/>
                  <pic:cNvPicPr preferRelativeResize="0"/>
                </pic:nvPicPr>
                <pic:blipFill>
                  <a:blip r:embed="rId1"/>
                  <a:srcRect b="0" l="0" r="10695" t="0"/>
                  <a:stretch>
                    <a:fillRect/>
                  </a:stretch>
                </pic:blipFill>
                <pic:spPr>
                  <a:xfrm>
                    <a:off x="0" y="0"/>
                    <a:ext cx="1817915" cy="84908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drawing>
        <wp:inline distB="0" distT="0" distL="0" distR="0">
          <wp:extent cx="2342753" cy="867519"/>
          <wp:effectExtent b="0" l="0" r="0" t="0"/>
          <wp:docPr id="6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42753" cy="86751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885825" cy="485775"/>
          <wp:effectExtent b="0" l="0" r="0" t="0"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5825" cy="4857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INSTITUTO FEDERAL SUL-RIO-GRANDENSE</w:t>
    </w:r>
  </w:p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PRÓ-REITORIA DE PESQUISA, INOVAÇÃO E PÓS-GRADUAÇÃO</w:t>
    </w:r>
  </w:p>
  <w:p w:rsidR="00000000" w:rsidDel="00000000" w:rsidP="00000000" w:rsidRDefault="00000000" w:rsidRPr="00000000" w14:paraId="000000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tabs>
        <w:tab w:val="left" w:leader="none" w:pos="284"/>
      </w:tabs>
      <w:spacing w:after="60" w:before="240" w:lineRule="auto"/>
      <w:jc w:val="center"/>
    </w:pPr>
    <w:rPr>
      <w:rFonts w:ascii="Cambria" w:cs="Cambria" w:eastAsia="Cambria" w:hAnsi="Cambria"/>
      <w:b w:val="1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tabs>
        <w:tab w:val="left" w:leader="none" w:pos="284"/>
      </w:tabs>
      <w:spacing w:after="60" w:before="240" w:lineRule="auto"/>
      <w:jc w:val="center"/>
    </w:pPr>
    <w:rPr>
      <w:rFonts w:ascii="Cambria" w:cs="Cambria" w:eastAsia="Cambria" w:hAnsi="Cambria"/>
      <w:b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sucupira.capes.gov.br/sucupira/public/consultas/coleta/veiculoPublicacaoQualis/listaConsultaGeralPeriodicos.jsf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CenturyGothic-boldItalic.ttf"/><Relationship Id="rId5" Type="http://schemas.openxmlformats.org/officeDocument/2006/relationships/font" Target="fonts/CambriaMath-regular.ttf"/><Relationship Id="rId6" Type="http://schemas.openxmlformats.org/officeDocument/2006/relationships/font" Target="fonts/CenturyGothic-regular.ttf"/><Relationship Id="rId7" Type="http://schemas.openxmlformats.org/officeDocument/2006/relationships/font" Target="fonts/CenturyGothic-bold.ttf"/><Relationship Id="rId8" Type="http://schemas.openxmlformats.org/officeDocument/2006/relationships/font" Target="fonts/CenturyGothic-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A6PWEZFvrRYloeYIHi07fwVeSw==">CgMxLjAyCGguZ2pkZ3hzOAByITFtdi1lZTRfb1J1RlFXQlJWRzRIdV9nZ0lCakN6Vnh3Wg==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